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72D9F" w14:textId="0B0B334A" w:rsidR="006E2BC2" w:rsidRDefault="004D0CAB" w:rsidP="000670F0">
      <w:pPr>
        <w:pStyle w:val="Heading2"/>
      </w:pPr>
      <w:r>
        <w:t>Task</w:t>
      </w:r>
      <w:r w:rsidR="0060226E">
        <w:t xml:space="preserve"> </w:t>
      </w:r>
      <w:r w:rsidR="000670F0">
        <w:t>– Clinical Decision Support</w:t>
      </w:r>
      <w:r w:rsidR="00FD7F6C">
        <w:t xml:space="preserve">: </w:t>
      </w:r>
      <w:r w:rsidR="009A0FB0">
        <w:t>Drug Monitoring warning</w:t>
      </w:r>
    </w:p>
    <w:p w14:paraId="4CADEFBF" w14:textId="2EC840C3" w:rsidR="00724813" w:rsidRDefault="0060226E" w:rsidP="0060226E">
      <w:pPr>
        <w:rPr>
          <w:sz w:val="22"/>
        </w:rPr>
      </w:pPr>
      <w:r>
        <w:rPr>
          <w:sz w:val="22"/>
        </w:rPr>
        <w:t>You have been treating Sarah, a 34-year old female</w:t>
      </w:r>
      <w:r w:rsidR="009A0FB0">
        <w:rPr>
          <w:sz w:val="22"/>
        </w:rPr>
        <w:t>,</w:t>
      </w:r>
      <w:r>
        <w:rPr>
          <w:sz w:val="22"/>
        </w:rPr>
        <w:t xml:space="preserve"> for depression with </w:t>
      </w:r>
      <w:r w:rsidR="009A0FB0">
        <w:rPr>
          <w:sz w:val="22"/>
        </w:rPr>
        <w:t>lithium</w:t>
      </w:r>
      <w:r>
        <w:rPr>
          <w:sz w:val="22"/>
        </w:rPr>
        <w:t xml:space="preserve"> </w:t>
      </w:r>
      <w:r w:rsidR="009E0697">
        <w:rPr>
          <w:sz w:val="22"/>
        </w:rPr>
        <w:t>300 mg 4x/</w:t>
      </w:r>
      <w:r w:rsidRPr="009E0697">
        <w:rPr>
          <w:sz w:val="22"/>
        </w:rPr>
        <w:t>day</w:t>
      </w:r>
      <w:r w:rsidR="00BD1F11">
        <w:rPr>
          <w:sz w:val="22"/>
        </w:rPr>
        <w:t xml:space="preserve"> for several years</w:t>
      </w:r>
      <w:r>
        <w:rPr>
          <w:sz w:val="22"/>
        </w:rPr>
        <w:t xml:space="preserve">. </w:t>
      </w:r>
      <w:r w:rsidR="009A0FB0">
        <w:rPr>
          <w:sz w:val="22"/>
        </w:rPr>
        <w:t>Sarah comes into your clinic today, requesting a refill of her lithium prescription.</w:t>
      </w:r>
      <w:r>
        <w:rPr>
          <w:sz w:val="22"/>
        </w:rPr>
        <w:t xml:space="preserve"> </w:t>
      </w:r>
      <w:r w:rsidR="009A0FB0">
        <w:rPr>
          <w:sz w:val="22"/>
        </w:rPr>
        <w:t>While you are well aware that patients on lithium require at least yearly monitoring of their lithium levels, you do not realize that is has been more than one year since Sarah’s last laboratory test. After discussing various aspects of her depression with her, you quickly decide to refill her prescription.</w:t>
      </w:r>
      <w:r w:rsidR="004D0CAB">
        <w:rPr>
          <w:sz w:val="22"/>
        </w:rPr>
        <w:t xml:space="preserve"> This task tests whether or not an alert or reminder is presented to indicate a new lithium level test is needed. </w:t>
      </w:r>
    </w:p>
    <w:p w14:paraId="48B5E9A0" w14:textId="77777777" w:rsidR="00680699" w:rsidRDefault="003A5AE2" w:rsidP="003A5AE2">
      <w:pPr>
        <w:pStyle w:val="ListParagraph"/>
        <w:numPr>
          <w:ilvl w:val="0"/>
          <w:numId w:val="25"/>
        </w:numPr>
        <w:rPr>
          <w:sz w:val="22"/>
        </w:rPr>
      </w:pPr>
      <w:r>
        <w:rPr>
          <w:sz w:val="22"/>
        </w:rPr>
        <w:t xml:space="preserve">Verify </w:t>
      </w:r>
      <w:r w:rsidR="00BD1F11">
        <w:rPr>
          <w:sz w:val="22"/>
        </w:rPr>
        <w:t>Sarah’s current medication list. Check to ensure that she has been on lithium continuously for over 3 years.  E</w:t>
      </w:r>
      <w:r>
        <w:rPr>
          <w:sz w:val="22"/>
        </w:rPr>
        <w:t xml:space="preserve">nsure that </w:t>
      </w:r>
      <w:r w:rsidR="009A0FB0">
        <w:rPr>
          <w:sz w:val="22"/>
        </w:rPr>
        <w:t>lithium</w:t>
      </w:r>
      <w:r>
        <w:rPr>
          <w:sz w:val="22"/>
        </w:rPr>
        <w:t xml:space="preserve"> 20 mg / day is shown. </w:t>
      </w:r>
    </w:p>
    <w:p w14:paraId="3CFCCABF" w14:textId="1C4B23A2" w:rsidR="00680699" w:rsidRPr="00680699" w:rsidRDefault="00680699" w:rsidP="00680699">
      <w:pPr>
        <w:pStyle w:val="ListParagraph"/>
        <w:numPr>
          <w:ilvl w:val="0"/>
          <w:numId w:val="25"/>
        </w:numPr>
        <w:rPr>
          <w:sz w:val="22"/>
        </w:rPr>
      </w:pPr>
      <w:r>
        <w:rPr>
          <w:sz w:val="22"/>
        </w:rPr>
        <w:t xml:space="preserve">Refill her prescription for lithium. </w:t>
      </w:r>
      <w:r w:rsidRPr="0029168E">
        <w:rPr>
          <w:sz w:val="22"/>
        </w:rPr>
        <w:t>Verbally state when you believe you have successfully completed this task.</w:t>
      </w:r>
    </w:p>
    <w:p w14:paraId="69AF10E1" w14:textId="22239AB7" w:rsidR="0029168E" w:rsidRPr="0029168E" w:rsidRDefault="009A0FB0" w:rsidP="003A5AE2">
      <w:pPr>
        <w:pStyle w:val="ListParagraph"/>
        <w:numPr>
          <w:ilvl w:val="0"/>
          <w:numId w:val="25"/>
        </w:numPr>
        <w:rPr>
          <w:sz w:val="22"/>
        </w:rPr>
      </w:pPr>
      <w:r>
        <w:rPr>
          <w:sz w:val="22"/>
        </w:rPr>
        <w:t>If</w:t>
      </w:r>
      <w:r w:rsidR="00680699">
        <w:rPr>
          <w:sz w:val="22"/>
        </w:rPr>
        <w:t>, at any point,</w:t>
      </w:r>
      <w:r>
        <w:rPr>
          <w:sz w:val="22"/>
        </w:rPr>
        <w:t xml:space="preserve"> an alert </w:t>
      </w:r>
      <w:r w:rsidR="00680699">
        <w:rPr>
          <w:sz w:val="22"/>
        </w:rPr>
        <w:t>or reminder prompts you regarding</w:t>
      </w:r>
      <w:r>
        <w:rPr>
          <w:sz w:val="22"/>
        </w:rPr>
        <w:t xml:space="preserve"> th</w:t>
      </w:r>
      <w:r w:rsidR="00680699">
        <w:rPr>
          <w:sz w:val="22"/>
        </w:rPr>
        <w:t xml:space="preserve">e </w:t>
      </w:r>
      <w:r w:rsidR="00A244BA">
        <w:rPr>
          <w:sz w:val="22"/>
        </w:rPr>
        <w:t xml:space="preserve">need for a new </w:t>
      </w:r>
      <w:r w:rsidR="00680699">
        <w:rPr>
          <w:sz w:val="22"/>
        </w:rPr>
        <w:t>lithium test</w:t>
      </w:r>
      <w:r>
        <w:rPr>
          <w:sz w:val="22"/>
        </w:rPr>
        <w:t>, accept the recommendation and go to the laboratory order entry screen</w:t>
      </w:r>
      <w:r w:rsidR="00680699">
        <w:rPr>
          <w:sz w:val="22"/>
        </w:rPr>
        <w:t xml:space="preserve">. After you have </w:t>
      </w:r>
      <w:r>
        <w:rPr>
          <w:sz w:val="22"/>
        </w:rPr>
        <w:t>enter</w:t>
      </w:r>
      <w:r w:rsidR="00680699">
        <w:rPr>
          <w:sz w:val="22"/>
        </w:rPr>
        <w:t>ed</w:t>
      </w:r>
      <w:r>
        <w:rPr>
          <w:sz w:val="22"/>
        </w:rPr>
        <w:t xml:space="preserve"> a request for a new lithium level</w:t>
      </w:r>
      <w:r w:rsidR="00680699">
        <w:rPr>
          <w:sz w:val="22"/>
        </w:rPr>
        <w:t>, v</w:t>
      </w:r>
      <w:r w:rsidR="00AC36A1" w:rsidRPr="0029168E">
        <w:rPr>
          <w:sz w:val="22"/>
        </w:rPr>
        <w:t>erbally state when you believe you have successfully completed this task.</w:t>
      </w:r>
      <w:r w:rsidR="00A244BA">
        <w:rPr>
          <w:sz w:val="22"/>
        </w:rPr>
        <w:t xml:space="preserve"> If necessary, complete the refill process and verbally state when you believe you have completed this task.</w:t>
      </w:r>
    </w:p>
    <w:tbl>
      <w:tblPr>
        <w:tblStyle w:val="TableGrid"/>
        <w:tblW w:w="0" w:type="auto"/>
        <w:tblLook w:val="04A0" w:firstRow="1" w:lastRow="0" w:firstColumn="1" w:lastColumn="0" w:noHBand="0" w:noVBand="1"/>
      </w:tblPr>
      <w:tblGrid>
        <w:gridCol w:w="1562"/>
        <w:gridCol w:w="2956"/>
      </w:tblGrid>
      <w:tr w:rsidR="0029168E" w:rsidRPr="003852F1" w14:paraId="1077DE2E" w14:textId="77777777" w:rsidTr="00DF6ECA">
        <w:tc>
          <w:tcPr>
            <w:tcW w:w="4518" w:type="dxa"/>
            <w:gridSpan w:val="2"/>
            <w:tcBorders>
              <w:bottom w:val="single" w:sz="4" w:space="0" w:color="auto"/>
            </w:tcBorders>
          </w:tcPr>
          <w:p w14:paraId="7C27731B" w14:textId="1200EFEE" w:rsidR="0029168E" w:rsidRPr="003852F1" w:rsidRDefault="0029168E" w:rsidP="003A5AE2">
            <w:pPr>
              <w:spacing w:before="0" w:after="0"/>
              <w:rPr>
                <w:b/>
                <w:sz w:val="22"/>
              </w:rPr>
            </w:pPr>
            <w:r w:rsidRPr="003852F1">
              <w:rPr>
                <w:b/>
                <w:sz w:val="22"/>
              </w:rPr>
              <w:t xml:space="preserve">Table 1. </w:t>
            </w:r>
            <w:r w:rsidR="009A0FB0">
              <w:rPr>
                <w:b/>
                <w:sz w:val="22"/>
              </w:rPr>
              <w:t>Lithium</w:t>
            </w:r>
            <w:r w:rsidR="003A5AE2">
              <w:rPr>
                <w:b/>
                <w:sz w:val="22"/>
              </w:rPr>
              <w:t xml:space="preserve"> Order</w:t>
            </w:r>
          </w:p>
        </w:tc>
      </w:tr>
      <w:tr w:rsidR="003A5AE2" w:rsidRPr="003852F1" w14:paraId="404260DF" w14:textId="77777777" w:rsidTr="00DF6ECA">
        <w:tc>
          <w:tcPr>
            <w:tcW w:w="1562" w:type="dxa"/>
            <w:tcBorders>
              <w:top w:val="single" w:sz="4" w:space="0" w:color="auto"/>
              <w:bottom w:val="nil"/>
              <w:right w:val="nil"/>
            </w:tcBorders>
          </w:tcPr>
          <w:p w14:paraId="6193387E" w14:textId="3873B78F" w:rsidR="003A5AE2" w:rsidRPr="003852F1" w:rsidRDefault="00DF6ECA" w:rsidP="003A5AE2">
            <w:pPr>
              <w:spacing w:before="0" w:after="0"/>
              <w:rPr>
                <w:sz w:val="22"/>
              </w:rPr>
            </w:pPr>
            <w:r>
              <w:t>Drug</w:t>
            </w:r>
            <w:r w:rsidR="003A5AE2" w:rsidRPr="00F15C96">
              <w:t xml:space="preserve">: </w:t>
            </w:r>
          </w:p>
        </w:tc>
        <w:tc>
          <w:tcPr>
            <w:tcW w:w="2956" w:type="dxa"/>
            <w:tcBorders>
              <w:top w:val="single" w:sz="4" w:space="0" w:color="auto"/>
              <w:left w:val="nil"/>
              <w:bottom w:val="nil"/>
            </w:tcBorders>
          </w:tcPr>
          <w:p w14:paraId="67EB12F0" w14:textId="506E39F3" w:rsidR="003A5AE2" w:rsidRPr="003852F1" w:rsidRDefault="009A0FB0" w:rsidP="00731012">
            <w:pPr>
              <w:spacing w:before="0" w:after="0"/>
              <w:rPr>
                <w:sz w:val="22"/>
              </w:rPr>
            </w:pPr>
            <w:r>
              <w:t>Lithium</w:t>
            </w:r>
          </w:p>
        </w:tc>
      </w:tr>
      <w:tr w:rsidR="003A5AE2" w:rsidRPr="003852F1" w14:paraId="2BD03FA2" w14:textId="77777777" w:rsidTr="00DF6ECA">
        <w:tc>
          <w:tcPr>
            <w:tcW w:w="1562" w:type="dxa"/>
            <w:tcBorders>
              <w:top w:val="nil"/>
              <w:bottom w:val="nil"/>
              <w:right w:val="nil"/>
            </w:tcBorders>
          </w:tcPr>
          <w:p w14:paraId="6AA15DE2" w14:textId="77777777" w:rsidR="003A5AE2" w:rsidRPr="003852F1" w:rsidRDefault="003A5AE2" w:rsidP="004D0CAB">
            <w:pPr>
              <w:spacing w:before="0" w:after="0"/>
              <w:rPr>
                <w:sz w:val="22"/>
              </w:rPr>
            </w:pPr>
            <w:r w:rsidRPr="00F15C96">
              <w:t xml:space="preserve">Strength: </w:t>
            </w:r>
          </w:p>
        </w:tc>
        <w:tc>
          <w:tcPr>
            <w:tcW w:w="2956" w:type="dxa"/>
            <w:tcBorders>
              <w:top w:val="nil"/>
              <w:left w:val="nil"/>
              <w:bottom w:val="nil"/>
            </w:tcBorders>
          </w:tcPr>
          <w:p w14:paraId="4B9B9C84" w14:textId="1D4F8ACA" w:rsidR="003A5AE2" w:rsidRPr="003852F1" w:rsidRDefault="009E0697" w:rsidP="004D0CAB">
            <w:pPr>
              <w:spacing w:before="0" w:after="0"/>
              <w:rPr>
                <w:sz w:val="22"/>
              </w:rPr>
            </w:pPr>
            <w:r>
              <w:t>300</w:t>
            </w:r>
            <w:r w:rsidR="003A5AE2" w:rsidRPr="00F15C96">
              <w:t xml:space="preserve"> mg tablet</w:t>
            </w:r>
          </w:p>
        </w:tc>
      </w:tr>
      <w:tr w:rsidR="003A5AE2" w:rsidRPr="003852F1" w14:paraId="4A9BEA8D" w14:textId="77777777" w:rsidTr="00DF6ECA">
        <w:tc>
          <w:tcPr>
            <w:tcW w:w="1562" w:type="dxa"/>
            <w:tcBorders>
              <w:top w:val="nil"/>
              <w:bottom w:val="nil"/>
              <w:right w:val="nil"/>
            </w:tcBorders>
          </w:tcPr>
          <w:p w14:paraId="4D8B2320" w14:textId="5FADC7AB" w:rsidR="003A5AE2" w:rsidRPr="003852F1" w:rsidRDefault="003A5AE2" w:rsidP="003A5AE2">
            <w:pPr>
              <w:spacing w:before="0" w:after="0"/>
              <w:rPr>
                <w:sz w:val="22"/>
              </w:rPr>
            </w:pPr>
            <w:r w:rsidRPr="00F15C96">
              <w:t xml:space="preserve">Take: </w:t>
            </w:r>
          </w:p>
        </w:tc>
        <w:tc>
          <w:tcPr>
            <w:tcW w:w="2956" w:type="dxa"/>
            <w:tcBorders>
              <w:top w:val="nil"/>
              <w:left w:val="nil"/>
              <w:bottom w:val="nil"/>
            </w:tcBorders>
          </w:tcPr>
          <w:p w14:paraId="6DCF73D7" w14:textId="364E43F6" w:rsidR="003A5AE2" w:rsidRPr="003852F1" w:rsidRDefault="003A5AE2" w:rsidP="00731012">
            <w:pPr>
              <w:spacing w:before="0" w:after="0"/>
              <w:rPr>
                <w:sz w:val="22"/>
              </w:rPr>
            </w:pPr>
            <w:r w:rsidRPr="00F15C96">
              <w:t>1 tablet</w:t>
            </w:r>
            <w:r w:rsidR="009E0697">
              <w:t>, 4x / day</w:t>
            </w:r>
          </w:p>
        </w:tc>
      </w:tr>
    </w:tbl>
    <w:p w14:paraId="0AA02532" w14:textId="77777777" w:rsidR="00DF6ECA" w:rsidRDefault="00DF6ECA" w:rsidP="00DF6ECA">
      <w:pPr>
        <w:pStyle w:val="NoSpacing"/>
      </w:pPr>
    </w:p>
    <w:tbl>
      <w:tblPr>
        <w:tblStyle w:val="TableGrid"/>
        <w:tblW w:w="0" w:type="auto"/>
        <w:tblLook w:val="04A0" w:firstRow="1" w:lastRow="0" w:firstColumn="1" w:lastColumn="0" w:noHBand="0" w:noVBand="1"/>
      </w:tblPr>
      <w:tblGrid>
        <w:gridCol w:w="1562"/>
        <w:gridCol w:w="2956"/>
      </w:tblGrid>
      <w:tr w:rsidR="00DF6ECA" w:rsidRPr="003852F1" w14:paraId="4A5D87F2" w14:textId="77777777" w:rsidTr="00DF6ECA">
        <w:tc>
          <w:tcPr>
            <w:tcW w:w="4518" w:type="dxa"/>
            <w:gridSpan w:val="2"/>
            <w:tcBorders>
              <w:bottom w:val="single" w:sz="4" w:space="0" w:color="auto"/>
            </w:tcBorders>
          </w:tcPr>
          <w:p w14:paraId="2172C0DC" w14:textId="2EEA6581" w:rsidR="00DF6ECA" w:rsidRPr="003852F1" w:rsidRDefault="00DF6ECA" w:rsidP="009A0FB0">
            <w:pPr>
              <w:spacing w:before="0" w:after="0"/>
              <w:rPr>
                <w:b/>
                <w:sz w:val="22"/>
              </w:rPr>
            </w:pPr>
            <w:r>
              <w:rPr>
                <w:b/>
                <w:sz w:val="22"/>
              </w:rPr>
              <w:t>Table 2</w:t>
            </w:r>
            <w:r w:rsidRPr="003852F1">
              <w:rPr>
                <w:b/>
                <w:sz w:val="22"/>
              </w:rPr>
              <w:t xml:space="preserve">. </w:t>
            </w:r>
            <w:r w:rsidR="009A0FB0">
              <w:rPr>
                <w:b/>
                <w:sz w:val="22"/>
              </w:rPr>
              <w:t>Lithium level</w:t>
            </w:r>
            <w:r>
              <w:rPr>
                <w:b/>
                <w:sz w:val="22"/>
              </w:rPr>
              <w:t xml:space="preserve"> Order</w:t>
            </w:r>
          </w:p>
        </w:tc>
      </w:tr>
      <w:tr w:rsidR="00DF6ECA" w:rsidRPr="003852F1" w14:paraId="7B8D61D8" w14:textId="77777777" w:rsidTr="00DF6ECA">
        <w:tc>
          <w:tcPr>
            <w:tcW w:w="1562" w:type="dxa"/>
            <w:tcBorders>
              <w:top w:val="single" w:sz="4" w:space="0" w:color="auto"/>
              <w:bottom w:val="nil"/>
              <w:right w:val="nil"/>
            </w:tcBorders>
          </w:tcPr>
          <w:p w14:paraId="01352875" w14:textId="795838CB" w:rsidR="00DF6ECA" w:rsidRPr="003852F1" w:rsidRDefault="009A0FB0" w:rsidP="004D0CAB">
            <w:pPr>
              <w:spacing w:before="0" w:after="0"/>
              <w:rPr>
                <w:sz w:val="22"/>
              </w:rPr>
            </w:pPr>
            <w:r>
              <w:t>Test</w:t>
            </w:r>
            <w:r w:rsidR="00DF6ECA" w:rsidRPr="00F15C96">
              <w:t xml:space="preserve">: </w:t>
            </w:r>
          </w:p>
        </w:tc>
        <w:tc>
          <w:tcPr>
            <w:tcW w:w="2956" w:type="dxa"/>
            <w:tcBorders>
              <w:top w:val="single" w:sz="4" w:space="0" w:color="auto"/>
              <w:left w:val="nil"/>
              <w:bottom w:val="nil"/>
            </w:tcBorders>
          </w:tcPr>
          <w:p w14:paraId="6F5DC64D" w14:textId="1AEB193C" w:rsidR="00DF6ECA" w:rsidRPr="003852F1" w:rsidRDefault="009A0FB0" w:rsidP="00DF6ECA">
            <w:pPr>
              <w:spacing w:before="0" w:after="0"/>
              <w:rPr>
                <w:sz w:val="22"/>
              </w:rPr>
            </w:pPr>
            <w:r>
              <w:t>Lithium</w:t>
            </w:r>
          </w:p>
        </w:tc>
      </w:tr>
      <w:tr w:rsidR="00DF6ECA" w:rsidRPr="003852F1" w14:paraId="002D8947" w14:textId="77777777" w:rsidTr="00DF6ECA">
        <w:tc>
          <w:tcPr>
            <w:tcW w:w="1562" w:type="dxa"/>
            <w:tcBorders>
              <w:top w:val="nil"/>
              <w:bottom w:val="nil"/>
              <w:right w:val="nil"/>
            </w:tcBorders>
          </w:tcPr>
          <w:p w14:paraId="79EF9A05" w14:textId="072A4782" w:rsidR="00DF6ECA" w:rsidRPr="003852F1" w:rsidRDefault="009A0FB0" w:rsidP="004D0CAB">
            <w:pPr>
              <w:spacing w:before="0" w:after="0"/>
              <w:rPr>
                <w:sz w:val="22"/>
              </w:rPr>
            </w:pPr>
            <w:r>
              <w:t>When</w:t>
            </w:r>
            <w:r w:rsidR="00DF6ECA" w:rsidRPr="00F15C96">
              <w:t xml:space="preserve">: </w:t>
            </w:r>
          </w:p>
        </w:tc>
        <w:tc>
          <w:tcPr>
            <w:tcW w:w="2956" w:type="dxa"/>
            <w:tcBorders>
              <w:top w:val="nil"/>
              <w:left w:val="nil"/>
              <w:bottom w:val="nil"/>
            </w:tcBorders>
          </w:tcPr>
          <w:p w14:paraId="77F4AA13" w14:textId="0C911CD5" w:rsidR="00DF6ECA" w:rsidRPr="003852F1" w:rsidRDefault="009A0FB0" w:rsidP="004D0CAB">
            <w:pPr>
              <w:spacing w:before="0" w:after="0"/>
              <w:rPr>
                <w:sz w:val="22"/>
              </w:rPr>
            </w:pPr>
            <w:r>
              <w:t>ASAP</w:t>
            </w:r>
          </w:p>
        </w:tc>
      </w:tr>
      <w:tr w:rsidR="00DF6ECA" w:rsidRPr="003852F1" w14:paraId="2BABE309" w14:textId="77777777" w:rsidTr="00DF6ECA">
        <w:tc>
          <w:tcPr>
            <w:tcW w:w="1562" w:type="dxa"/>
            <w:tcBorders>
              <w:top w:val="nil"/>
              <w:right w:val="nil"/>
            </w:tcBorders>
          </w:tcPr>
          <w:p w14:paraId="73C3CA4A" w14:textId="51820138" w:rsidR="00DF6ECA" w:rsidRPr="003852F1" w:rsidRDefault="002B4282" w:rsidP="004D0CAB">
            <w:pPr>
              <w:spacing w:before="0" w:after="0"/>
              <w:rPr>
                <w:sz w:val="22"/>
              </w:rPr>
            </w:pPr>
            <w:r>
              <w:t>reason</w:t>
            </w:r>
            <w:r w:rsidR="00DF6ECA" w:rsidRPr="00F15C96">
              <w:t xml:space="preserve">: </w:t>
            </w:r>
          </w:p>
        </w:tc>
        <w:tc>
          <w:tcPr>
            <w:tcW w:w="2956" w:type="dxa"/>
            <w:tcBorders>
              <w:top w:val="nil"/>
              <w:left w:val="nil"/>
            </w:tcBorders>
          </w:tcPr>
          <w:p w14:paraId="39346FA5" w14:textId="51705003" w:rsidR="00DF6ECA" w:rsidRPr="003852F1" w:rsidRDefault="004940D1" w:rsidP="004D0CAB">
            <w:pPr>
              <w:spacing w:before="0" w:after="0"/>
              <w:rPr>
                <w:sz w:val="22"/>
              </w:rPr>
            </w:pPr>
            <w:r>
              <w:t>Monitor lithium levels or associate with Depression from problem list</w:t>
            </w:r>
          </w:p>
        </w:tc>
        <w:bookmarkStart w:id="0" w:name="_GoBack"/>
        <w:bookmarkEnd w:id="0"/>
      </w:tr>
    </w:tbl>
    <w:p w14:paraId="3CBFB440" w14:textId="77777777" w:rsidR="00DF6ECA" w:rsidRPr="000670F0" w:rsidRDefault="00DF6ECA" w:rsidP="000670F0"/>
    <w:sectPr w:rsidR="00DF6ECA" w:rsidRPr="000670F0" w:rsidSect="007B551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A018" w14:textId="77777777" w:rsidR="00052C47" w:rsidRDefault="00052C47" w:rsidP="00A5048D">
      <w:r>
        <w:separator/>
      </w:r>
    </w:p>
  </w:endnote>
  <w:endnote w:type="continuationSeparator" w:id="0">
    <w:p w14:paraId="0449A29A" w14:textId="77777777" w:rsidR="00052C47" w:rsidRDefault="00052C47" w:rsidP="00A5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EE4D" w14:textId="77777777" w:rsidR="00680699" w:rsidRDefault="00052C47">
    <w:pPr>
      <w:pStyle w:val="Footer"/>
    </w:pPr>
    <w:sdt>
      <w:sdtPr>
        <w:id w:val="969400743"/>
        <w:temporary/>
        <w:showingPlcHdr/>
      </w:sdtPr>
      <w:sdtEndPr/>
      <w:sdtContent>
        <w:r w:rsidR="00680699">
          <w:t>[Type text]</w:t>
        </w:r>
      </w:sdtContent>
    </w:sdt>
    <w:r w:rsidR="00680699">
      <w:ptab w:relativeTo="margin" w:alignment="center" w:leader="none"/>
    </w:r>
    <w:sdt>
      <w:sdtPr>
        <w:id w:val="969400748"/>
        <w:temporary/>
        <w:showingPlcHdr/>
      </w:sdtPr>
      <w:sdtEndPr/>
      <w:sdtContent>
        <w:r w:rsidR="00680699">
          <w:t>[Type text]</w:t>
        </w:r>
      </w:sdtContent>
    </w:sdt>
    <w:r w:rsidR="00680699">
      <w:ptab w:relativeTo="margin" w:alignment="right" w:leader="none"/>
    </w:r>
    <w:sdt>
      <w:sdtPr>
        <w:id w:val="969400753"/>
        <w:temporary/>
        <w:showingPlcHdr/>
      </w:sdtPr>
      <w:sdtEndPr/>
      <w:sdtContent>
        <w:r w:rsidR="00680699">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8056" w14:textId="2D318C65" w:rsidR="00680699" w:rsidRDefault="006806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4D9A" w14:textId="77777777" w:rsidR="00B77312" w:rsidRDefault="00B77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AC711" w14:textId="77777777" w:rsidR="00052C47" w:rsidRDefault="00052C47" w:rsidP="00A5048D">
      <w:r>
        <w:separator/>
      </w:r>
    </w:p>
  </w:footnote>
  <w:footnote w:type="continuationSeparator" w:id="0">
    <w:p w14:paraId="28F52E4C" w14:textId="77777777" w:rsidR="00052C47" w:rsidRDefault="00052C47" w:rsidP="00A5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25B8" w14:textId="77777777" w:rsidR="00B77312" w:rsidRDefault="00B77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23DA7" w14:textId="126D47FE" w:rsidR="00680699" w:rsidRDefault="00680699" w:rsidP="00610803">
    <w:pPr>
      <w:pStyle w:val="Header"/>
      <w:jc w:val="right"/>
    </w:pPr>
    <w:r>
      <w:rPr>
        <w:noProof/>
      </w:rPr>
      <w:drawing>
        <wp:inline distT="0" distB="0" distL="0" distR="0" wp14:anchorId="374AACCD" wp14:editId="4FD14943">
          <wp:extent cx="548640" cy="182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 Logo.png"/>
                  <pic:cNvPicPr/>
                </pic:nvPicPr>
                <pic:blipFill>
                  <a:blip r:embed="rId1">
                    <a:extLst>
                      <a:ext uri="{28A0092B-C50C-407E-A947-70E740481C1C}">
                        <a14:useLocalDpi xmlns:a14="http://schemas.microsoft.com/office/drawing/2010/main" val="0"/>
                      </a:ext>
                    </a:extLst>
                  </a:blip>
                  <a:stretch>
                    <a:fillRect/>
                  </a:stretch>
                </pic:blipFill>
                <pic:spPr>
                  <a:xfrm>
                    <a:off x="0" y="0"/>
                    <a:ext cx="548640" cy="1828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363B5" w14:textId="77777777" w:rsidR="00B77312" w:rsidRDefault="00B773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78F"/>
    <w:multiLevelType w:val="hybridMultilevel"/>
    <w:tmpl w:val="7560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36A04"/>
    <w:multiLevelType w:val="hybridMultilevel"/>
    <w:tmpl w:val="E488F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FC013D"/>
    <w:multiLevelType w:val="hybridMultilevel"/>
    <w:tmpl w:val="2104D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76FE8"/>
    <w:multiLevelType w:val="hybridMultilevel"/>
    <w:tmpl w:val="AFE43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9591E"/>
    <w:multiLevelType w:val="hybridMultilevel"/>
    <w:tmpl w:val="34A6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8582C"/>
    <w:multiLevelType w:val="hybridMultilevel"/>
    <w:tmpl w:val="B802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D72AB"/>
    <w:multiLevelType w:val="hybridMultilevel"/>
    <w:tmpl w:val="A6B4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A64133"/>
    <w:multiLevelType w:val="hybridMultilevel"/>
    <w:tmpl w:val="EDBE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B43B3F"/>
    <w:multiLevelType w:val="hybridMultilevel"/>
    <w:tmpl w:val="AFF0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3609D"/>
    <w:multiLevelType w:val="hybridMultilevel"/>
    <w:tmpl w:val="7B58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C316A"/>
    <w:multiLevelType w:val="hybridMultilevel"/>
    <w:tmpl w:val="5458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5663F8"/>
    <w:multiLevelType w:val="hybridMultilevel"/>
    <w:tmpl w:val="59BC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41A2E"/>
    <w:multiLevelType w:val="hybridMultilevel"/>
    <w:tmpl w:val="31E8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313F6B"/>
    <w:multiLevelType w:val="hybridMultilevel"/>
    <w:tmpl w:val="5F34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73D88"/>
    <w:multiLevelType w:val="hybridMultilevel"/>
    <w:tmpl w:val="1A64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8B7A70"/>
    <w:multiLevelType w:val="hybridMultilevel"/>
    <w:tmpl w:val="EA7C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55C87"/>
    <w:multiLevelType w:val="hybridMultilevel"/>
    <w:tmpl w:val="EF5AF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B259C"/>
    <w:multiLevelType w:val="hybridMultilevel"/>
    <w:tmpl w:val="10A62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140CE9"/>
    <w:multiLevelType w:val="hybridMultilevel"/>
    <w:tmpl w:val="C68A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915DA"/>
    <w:multiLevelType w:val="hybridMultilevel"/>
    <w:tmpl w:val="FC82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2679B1"/>
    <w:multiLevelType w:val="hybridMultilevel"/>
    <w:tmpl w:val="7B58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F4A41"/>
    <w:multiLevelType w:val="hybridMultilevel"/>
    <w:tmpl w:val="AFF0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8A2479"/>
    <w:multiLevelType w:val="hybridMultilevel"/>
    <w:tmpl w:val="F4D2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6F0F36"/>
    <w:multiLevelType w:val="hybridMultilevel"/>
    <w:tmpl w:val="720E2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F79B6"/>
    <w:multiLevelType w:val="hybridMultilevel"/>
    <w:tmpl w:val="2CE2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0"/>
  </w:num>
  <w:num w:numId="5">
    <w:abstractNumId w:val="16"/>
  </w:num>
  <w:num w:numId="6">
    <w:abstractNumId w:val="4"/>
  </w:num>
  <w:num w:numId="7">
    <w:abstractNumId w:val="13"/>
  </w:num>
  <w:num w:numId="8">
    <w:abstractNumId w:val="7"/>
  </w:num>
  <w:num w:numId="9">
    <w:abstractNumId w:val="10"/>
  </w:num>
  <w:num w:numId="10">
    <w:abstractNumId w:val="2"/>
  </w:num>
  <w:num w:numId="11">
    <w:abstractNumId w:val="24"/>
  </w:num>
  <w:num w:numId="12">
    <w:abstractNumId w:val="14"/>
  </w:num>
  <w:num w:numId="13">
    <w:abstractNumId w:val="1"/>
  </w:num>
  <w:num w:numId="14">
    <w:abstractNumId w:val="5"/>
  </w:num>
  <w:num w:numId="15">
    <w:abstractNumId w:val="9"/>
  </w:num>
  <w:num w:numId="16">
    <w:abstractNumId w:val="20"/>
  </w:num>
  <w:num w:numId="17">
    <w:abstractNumId w:val="12"/>
  </w:num>
  <w:num w:numId="18">
    <w:abstractNumId w:val="19"/>
  </w:num>
  <w:num w:numId="19">
    <w:abstractNumId w:val="15"/>
  </w:num>
  <w:num w:numId="20">
    <w:abstractNumId w:val="6"/>
  </w:num>
  <w:num w:numId="21">
    <w:abstractNumId w:val="3"/>
  </w:num>
  <w:num w:numId="22">
    <w:abstractNumId w:val="23"/>
  </w:num>
  <w:num w:numId="23">
    <w:abstractNumId w:val="21"/>
  </w:num>
  <w:num w:numId="24">
    <w:abstractNumId w:val="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85"/>
    <w:rsid w:val="00001032"/>
    <w:rsid w:val="00006340"/>
    <w:rsid w:val="0002182A"/>
    <w:rsid w:val="00023310"/>
    <w:rsid w:val="0002496C"/>
    <w:rsid w:val="00030C9D"/>
    <w:rsid w:val="00034710"/>
    <w:rsid w:val="00040E11"/>
    <w:rsid w:val="00052C47"/>
    <w:rsid w:val="00062371"/>
    <w:rsid w:val="00066C85"/>
    <w:rsid w:val="000670F0"/>
    <w:rsid w:val="00072E75"/>
    <w:rsid w:val="00074771"/>
    <w:rsid w:val="00074976"/>
    <w:rsid w:val="00077D0B"/>
    <w:rsid w:val="00083465"/>
    <w:rsid w:val="000A58BC"/>
    <w:rsid w:val="000B5E6D"/>
    <w:rsid w:val="000C5532"/>
    <w:rsid w:val="000E18C3"/>
    <w:rsid w:val="00110F0A"/>
    <w:rsid w:val="001203DA"/>
    <w:rsid w:val="00137C83"/>
    <w:rsid w:val="00170419"/>
    <w:rsid w:val="00175BD6"/>
    <w:rsid w:val="00190CF1"/>
    <w:rsid w:val="001968D4"/>
    <w:rsid w:val="001A03E4"/>
    <w:rsid w:val="001A7545"/>
    <w:rsid w:val="001C12EB"/>
    <w:rsid w:val="001C50D9"/>
    <w:rsid w:val="001C73CD"/>
    <w:rsid w:val="001D02C8"/>
    <w:rsid w:val="001D55C0"/>
    <w:rsid w:val="001E2128"/>
    <w:rsid w:val="001E340D"/>
    <w:rsid w:val="00203EBE"/>
    <w:rsid w:val="0021339B"/>
    <w:rsid w:val="002265DC"/>
    <w:rsid w:val="00231285"/>
    <w:rsid w:val="00250761"/>
    <w:rsid w:val="002557DF"/>
    <w:rsid w:val="00256003"/>
    <w:rsid w:val="002576AD"/>
    <w:rsid w:val="00262882"/>
    <w:rsid w:val="00283809"/>
    <w:rsid w:val="00290A39"/>
    <w:rsid w:val="0029168E"/>
    <w:rsid w:val="002A4B47"/>
    <w:rsid w:val="002B4282"/>
    <w:rsid w:val="002B6230"/>
    <w:rsid w:val="002C49FE"/>
    <w:rsid w:val="002D2EFF"/>
    <w:rsid w:val="002E6569"/>
    <w:rsid w:val="0030610A"/>
    <w:rsid w:val="00306260"/>
    <w:rsid w:val="00323830"/>
    <w:rsid w:val="00337651"/>
    <w:rsid w:val="0035200B"/>
    <w:rsid w:val="003852F1"/>
    <w:rsid w:val="003905BD"/>
    <w:rsid w:val="003A4DAE"/>
    <w:rsid w:val="003A5AE2"/>
    <w:rsid w:val="003B2B10"/>
    <w:rsid w:val="003B7177"/>
    <w:rsid w:val="003C088F"/>
    <w:rsid w:val="003D2E33"/>
    <w:rsid w:val="003F6712"/>
    <w:rsid w:val="004044AF"/>
    <w:rsid w:val="00405985"/>
    <w:rsid w:val="00407926"/>
    <w:rsid w:val="00411ACB"/>
    <w:rsid w:val="004151A1"/>
    <w:rsid w:val="00415F15"/>
    <w:rsid w:val="0041644D"/>
    <w:rsid w:val="004363D6"/>
    <w:rsid w:val="00437D81"/>
    <w:rsid w:val="0045024E"/>
    <w:rsid w:val="00455070"/>
    <w:rsid w:val="00466F0C"/>
    <w:rsid w:val="004940D1"/>
    <w:rsid w:val="004A7F67"/>
    <w:rsid w:val="004B761D"/>
    <w:rsid w:val="004C6D20"/>
    <w:rsid w:val="004D0CAB"/>
    <w:rsid w:val="004E2A26"/>
    <w:rsid w:val="004F1C7C"/>
    <w:rsid w:val="0050715A"/>
    <w:rsid w:val="00525DD2"/>
    <w:rsid w:val="005359D2"/>
    <w:rsid w:val="00551B84"/>
    <w:rsid w:val="005538A5"/>
    <w:rsid w:val="00565909"/>
    <w:rsid w:val="0057691C"/>
    <w:rsid w:val="00581B1C"/>
    <w:rsid w:val="00590B60"/>
    <w:rsid w:val="005A1768"/>
    <w:rsid w:val="005A4B4A"/>
    <w:rsid w:val="005C2F1E"/>
    <w:rsid w:val="005C3AED"/>
    <w:rsid w:val="005C637C"/>
    <w:rsid w:val="005D2179"/>
    <w:rsid w:val="005F5968"/>
    <w:rsid w:val="0060226E"/>
    <w:rsid w:val="00604E55"/>
    <w:rsid w:val="00606922"/>
    <w:rsid w:val="00610803"/>
    <w:rsid w:val="00617D2C"/>
    <w:rsid w:val="006210E5"/>
    <w:rsid w:val="00621B28"/>
    <w:rsid w:val="00622474"/>
    <w:rsid w:val="00632988"/>
    <w:rsid w:val="00641E10"/>
    <w:rsid w:val="00643E63"/>
    <w:rsid w:val="00644551"/>
    <w:rsid w:val="006564B7"/>
    <w:rsid w:val="00657361"/>
    <w:rsid w:val="00666FB3"/>
    <w:rsid w:val="00674BC0"/>
    <w:rsid w:val="00680699"/>
    <w:rsid w:val="006902F1"/>
    <w:rsid w:val="00691F19"/>
    <w:rsid w:val="006A080A"/>
    <w:rsid w:val="006A2A9E"/>
    <w:rsid w:val="006A3837"/>
    <w:rsid w:val="006B5D65"/>
    <w:rsid w:val="006B616D"/>
    <w:rsid w:val="006E2BC2"/>
    <w:rsid w:val="006F7BFB"/>
    <w:rsid w:val="00702A3F"/>
    <w:rsid w:val="0070514D"/>
    <w:rsid w:val="00721899"/>
    <w:rsid w:val="00724813"/>
    <w:rsid w:val="00731012"/>
    <w:rsid w:val="00742C9C"/>
    <w:rsid w:val="00745B65"/>
    <w:rsid w:val="007504EA"/>
    <w:rsid w:val="0076167A"/>
    <w:rsid w:val="00763B68"/>
    <w:rsid w:val="00773781"/>
    <w:rsid w:val="00784D06"/>
    <w:rsid w:val="0078580A"/>
    <w:rsid w:val="007919EA"/>
    <w:rsid w:val="00797DEB"/>
    <w:rsid w:val="007A1893"/>
    <w:rsid w:val="007A1A6F"/>
    <w:rsid w:val="007B47C4"/>
    <w:rsid w:val="007B5519"/>
    <w:rsid w:val="007C4F7C"/>
    <w:rsid w:val="007E2231"/>
    <w:rsid w:val="007F500D"/>
    <w:rsid w:val="007F56DA"/>
    <w:rsid w:val="008032CD"/>
    <w:rsid w:val="00804407"/>
    <w:rsid w:val="00830C41"/>
    <w:rsid w:val="00830CCF"/>
    <w:rsid w:val="0083135C"/>
    <w:rsid w:val="0083324A"/>
    <w:rsid w:val="008770A1"/>
    <w:rsid w:val="0088141C"/>
    <w:rsid w:val="00886403"/>
    <w:rsid w:val="008876E6"/>
    <w:rsid w:val="00892FF7"/>
    <w:rsid w:val="008934AB"/>
    <w:rsid w:val="00895AED"/>
    <w:rsid w:val="008B67FD"/>
    <w:rsid w:val="008C11B0"/>
    <w:rsid w:val="008C1D42"/>
    <w:rsid w:val="008C5EBC"/>
    <w:rsid w:val="008D2F5A"/>
    <w:rsid w:val="008E33FA"/>
    <w:rsid w:val="008F12B4"/>
    <w:rsid w:val="00905327"/>
    <w:rsid w:val="00906F20"/>
    <w:rsid w:val="00913F45"/>
    <w:rsid w:val="00921010"/>
    <w:rsid w:val="009256E5"/>
    <w:rsid w:val="0092648E"/>
    <w:rsid w:val="009325F4"/>
    <w:rsid w:val="00940FEB"/>
    <w:rsid w:val="009474A5"/>
    <w:rsid w:val="00950904"/>
    <w:rsid w:val="00955634"/>
    <w:rsid w:val="00957E23"/>
    <w:rsid w:val="00961114"/>
    <w:rsid w:val="00991D5A"/>
    <w:rsid w:val="009A0FB0"/>
    <w:rsid w:val="009B4BD8"/>
    <w:rsid w:val="009B5CC3"/>
    <w:rsid w:val="009C3300"/>
    <w:rsid w:val="009C3313"/>
    <w:rsid w:val="009C4672"/>
    <w:rsid w:val="009C4936"/>
    <w:rsid w:val="009D144D"/>
    <w:rsid w:val="009D2705"/>
    <w:rsid w:val="009E0697"/>
    <w:rsid w:val="009E685A"/>
    <w:rsid w:val="009E77C2"/>
    <w:rsid w:val="00A12DC4"/>
    <w:rsid w:val="00A131D5"/>
    <w:rsid w:val="00A221D0"/>
    <w:rsid w:val="00A236EC"/>
    <w:rsid w:val="00A244BA"/>
    <w:rsid w:val="00A362D4"/>
    <w:rsid w:val="00A5048D"/>
    <w:rsid w:val="00A54D3B"/>
    <w:rsid w:val="00A6708D"/>
    <w:rsid w:val="00A70978"/>
    <w:rsid w:val="00A7542B"/>
    <w:rsid w:val="00A7542C"/>
    <w:rsid w:val="00A8009A"/>
    <w:rsid w:val="00A80AE6"/>
    <w:rsid w:val="00A83118"/>
    <w:rsid w:val="00A84EB8"/>
    <w:rsid w:val="00A92F66"/>
    <w:rsid w:val="00A9343B"/>
    <w:rsid w:val="00A96A70"/>
    <w:rsid w:val="00AA116F"/>
    <w:rsid w:val="00AA34FF"/>
    <w:rsid w:val="00AB3B20"/>
    <w:rsid w:val="00AB72A8"/>
    <w:rsid w:val="00AC36A1"/>
    <w:rsid w:val="00AC6A2B"/>
    <w:rsid w:val="00AD58FB"/>
    <w:rsid w:val="00B20B4C"/>
    <w:rsid w:val="00B20D14"/>
    <w:rsid w:val="00B23AC2"/>
    <w:rsid w:val="00B3082E"/>
    <w:rsid w:val="00B54C6B"/>
    <w:rsid w:val="00B611E9"/>
    <w:rsid w:val="00B65992"/>
    <w:rsid w:val="00B75EAB"/>
    <w:rsid w:val="00B77312"/>
    <w:rsid w:val="00B8101E"/>
    <w:rsid w:val="00B81501"/>
    <w:rsid w:val="00B82744"/>
    <w:rsid w:val="00B8399D"/>
    <w:rsid w:val="00B9078D"/>
    <w:rsid w:val="00BA331B"/>
    <w:rsid w:val="00BA45C8"/>
    <w:rsid w:val="00BA6AA0"/>
    <w:rsid w:val="00BC6078"/>
    <w:rsid w:val="00BD1297"/>
    <w:rsid w:val="00BD1F11"/>
    <w:rsid w:val="00BE1AD1"/>
    <w:rsid w:val="00BE22BB"/>
    <w:rsid w:val="00C001AB"/>
    <w:rsid w:val="00C002A2"/>
    <w:rsid w:val="00C0036F"/>
    <w:rsid w:val="00C1423B"/>
    <w:rsid w:val="00C24BE6"/>
    <w:rsid w:val="00C43811"/>
    <w:rsid w:val="00C46895"/>
    <w:rsid w:val="00C57F90"/>
    <w:rsid w:val="00C64E03"/>
    <w:rsid w:val="00C72A2C"/>
    <w:rsid w:val="00C77EA7"/>
    <w:rsid w:val="00C92769"/>
    <w:rsid w:val="00C945B4"/>
    <w:rsid w:val="00CD09F2"/>
    <w:rsid w:val="00CF1A54"/>
    <w:rsid w:val="00CF70A3"/>
    <w:rsid w:val="00CF7CE6"/>
    <w:rsid w:val="00D02914"/>
    <w:rsid w:val="00D04CC4"/>
    <w:rsid w:val="00D1013E"/>
    <w:rsid w:val="00D11D7C"/>
    <w:rsid w:val="00D12342"/>
    <w:rsid w:val="00D16DFE"/>
    <w:rsid w:val="00D255E4"/>
    <w:rsid w:val="00D260A5"/>
    <w:rsid w:val="00D3240F"/>
    <w:rsid w:val="00D4314F"/>
    <w:rsid w:val="00D53953"/>
    <w:rsid w:val="00D61052"/>
    <w:rsid w:val="00D80456"/>
    <w:rsid w:val="00D81C95"/>
    <w:rsid w:val="00DD5463"/>
    <w:rsid w:val="00DD54FF"/>
    <w:rsid w:val="00DF6ECA"/>
    <w:rsid w:val="00E00E2E"/>
    <w:rsid w:val="00E14796"/>
    <w:rsid w:val="00E174F4"/>
    <w:rsid w:val="00E43926"/>
    <w:rsid w:val="00E55543"/>
    <w:rsid w:val="00E61A38"/>
    <w:rsid w:val="00E740DC"/>
    <w:rsid w:val="00E7479E"/>
    <w:rsid w:val="00E92CC0"/>
    <w:rsid w:val="00E9355D"/>
    <w:rsid w:val="00E95C90"/>
    <w:rsid w:val="00EA623D"/>
    <w:rsid w:val="00EB56BF"/>
    <w:rsid w:val="00EB7B01"/>
    <w:rsid w:val="00EC3F02"/>
    <w:rsid w:val="00ED604A"/>
    <w:rsid w:val="00EF52B5"/>
    <w:rsid w:val="00F0259E"/>
    <w:rsid w:val="00F0286F"/>
    <w:rsid w:val="00F15252"/>
    <w:rsid w:val="00F1728F"/>
    <w:rsid w:val="00F243AE"/>
    <w:rsid w:val="00F26FA7"/>
    <w:rsid w:val="00F304D3"/>
    <w:rsid w:val="00F32862"/>
    <w:rsid w:val="00F342D3"/>
    <w:rsid w:val="00F3449A"/>
    <w:rsid w:val="00F40D02"/>
    <w:rsid w:val="00F44118"/>
    <w:rsid w:val="00F67B84"/>
    <w:rsid w:val="00F67E3D"/>
    <w:rsid w:val="00F82747"/>
    <w:rsid w:val="00F93E01"/>
    <w:rsid w:val="00FA2F91"/>
    <w:rsid w:val="00FA5240"/>
    <w:rsid w:val="00FB648A"/>
    <w:rsid w:val="00FC41B6"/>
    <w:rsid w:val="00FD35DA"/>
    <w:rsid w:val="00FD6075"/>
    <w:rsid w:val="00FD7F6C"/>
    <w:rsid w:val="00FE21E2"/>
    <w:rsid w:val="00FE4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FADDC4"/>
  <w15:docId w15:val="{D3B6FAF5-EE53-43C3-9FD5-27488157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31B"/>
    <w:rPr>
      <w:sz w:val="20"/>
      <w:szCs w:val="20"/>
    </w:rPr>
  </w:style>
  <w:style w:type="paragraph" w:styleId="Heading1">
    <w:name w:val="heading 1"/>
    <w:basedOn w:val="Normal"/>
    <w:next w:val="Normal"/>
    <w:link w:val="Heading1Char"/>
    <w:uiPriority w:val="9"/>
    <w:qFormat/>
    <w:rsid w:val="00BA331B"/>
    <w:pPr>
      <w:pBdr>
        <w:top w:val="single" w:sz="24" w:space="0" w:color="629DD1" w:themeColor="accent1"/>
        <w:left w:val="single" w:sz="24" w:space="0" w:color="629DD1" w:themeColor="accent1"/>
        <w:bottom w:val="single" w:sz="24" w:space="0" w:color="629DD1" w:themeColor="accent1"/>
        <w:right w:val="single" w:sz="24" w:space="0" w:color="629DD1" w:themeColor="accent1"/>
      </w:pBdr>
      <w:shd w:val="clear" w:color="auto" w:fill="629DD1"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A331B"/>
    <w:pPr>
      <w:pBdr>
        <w:top w:val="single" w:sz="24" w:space="0" w:color="DFEBF5" w:themeColor="accent1" w:themeTint="33"/>
        <w:left w:val="single" w:sz="24" w:space="0" w:color="DFEBF5" w:themeColor="accent1" w:themeTint="33"/>
        <w:bottom w:val="single" w:sz="24" w:space="0" w:color="DFEBF5" w:themeColor="accent1" w:themeTint="33"/>
        <w:right w:val="single" w:sz="24" w:space="0" w:color="DFEBF5" w:themeColor="accent1" w:themeTint="33"/>
      </w:pBdr>
      <w:shd w:val="clear" w:color="auto" w:fill="DFEBF5"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A331B"/>
    <w:pPr>
      <w:pBdr>
        <w:top w:val="single" w:sz="6" w:space="2" w:color="629DD1" w:themeColor="accent1"/>
        <w:left w:val="single" w:sz="6" w:space="2" w:color="629DD1" w:themeColor="accent1"/>
      </w:pBdr>
      <w:spacing w:before="300" w:after="0"/>
      <w:outlineLvl w:val="2"/>
    </w:pPr>
    <w:rPr>
      <w:caps/>
      <w:color w:val="224E76" w:themeColor="accent1" w:themeShade="7F"/>
      <w:spacing w:val="15"/>
      <w:sz w:val="22"/>
      <w:szCs w:val="22"/>
    </w:rPr>
  </w:style>
  <w:style w:type="paragraph" w:styleId="Heading4">
    <w:name w:val="heading 4"/>
    <w:basedOn w:val="Normal"/>
    <w:next w:val="Normal"/>
    <w:link w:val="Heading4Char"/>
    <w:uiPriority w:val="9"/>
    <w:semiHidden/>
    <w:unhideWhenUsed/>
    <w:qFormat/>
    <w:rsid w:val="00BA331B"/>
    <w:pPr>
      <w:pBdr>
        <w:top w:val="dotted" w:sz="6" w:space="2" w:color="629DD1" w:themeColor="accent1"/>
        <w:left w:val="dotted" w:sz="6" w:space="2" w:color="629DD1" w:themeColor="accent1"/>
      </w:pBdr>
      <w:spacing w:before="300" w:after="0"/>
      <w:outlineLvl w:val="3"/>
    </w:pPr>
    <w:rPr>
      <w:caps/>
      <w:color w:val="3476B1" w:themeColor="accent1" w:themeShade="BF"/>
      <w:spacing w:val="10"/>
      <w:sz w:val="22"/>
      <w:szCs w:val="22"/>
    </w:rPr>
  </w:style>
  <w:style w:type="paragraph" w:styleId="Heading5">
    <w:name w:val="heading 5"/>
    <w:basedOn w:val="Normal"/>
    <w:next w:val="Normal"/>
    <w:link w:val="Heading5Char"/>
    <w:uiPriority w:val="9"/>
    <w:semiHidden/>
    <w:unhideWhenUsed/>
    <w:qFormat/>
    <w:rsid w:val="00BA331B"/>
    <w:pPr>
      <w:pBdr>
        <w:bottom w:val="single" w:sz="6" w:space="1" w:color="629DD1" w:themeColor="accent1"/>
      </w:pBdr>
      <w:spacing w:before="300" w:after="0"/>
      <w:outlineLvl w:val="4"/>
    </w:pPr>
    <w:rPr>
      <w:caps/>
      <w:color w:val="3476B1" w:themeColor="accent1" w:themeShade="BF"/>
      <w:spacing w:val="10"/>
      <w:sz w:val="22"/>
      <w:szCs w:val="22"/>
    </w:rPr>
  </w:style>
  <w:style w:type="paragraph" w:styleId="Heading6">
    <w:name w:val="heading 6"/>
    <w:basedOn w:val="Normal"/>
    <w:next w:val="Normal"/>
    <w:link w:val="Heading6Char"/>
    <w:uiPriority w:val="9"/>
    <w:semiHidden/>
    <w:unhideWhenUsed/>
    <w:qFormat/>
    <w:rsid w:val="00BA331B"/>
    <w:pPr>
      <w:pBdr>
        <w:bottom w:val="dotted" w:sz="6" w:space="1" w:color="629DD1" w:themeColor="accent1"/>
      </w:pBdr>
      <w:spacing w:before="300" w:after="0"/>
      <w:outlineLvl w:val="5"/>
    </w:pPr>
    <w:rPr>
      <w:caps/>
      <w:color w:val="3476B1" w:themeColor="accent1" w:themeShade="BF"/>
      <w:spacing w:val="10"/>
      <w:sz w:val="22"/>
      <w:szCs w:val="22"/>
    </w:rPr>
  </w:style>
  <w:style w:type="paragraph" w:styleId="Heading7">
    <w:name w:val="heading 7"/>
    <w:basedOn w:val="Normal"/>
    <w:next w:val="Normal"/>
    <w:link w:val="Heading7Char"/>
    <w:uiPriority w:val="9"/>
    <w:semiHidden/>
    <w:unhideWhenUsed/>
    <w:qFormat/>
    <w:rsid w:val="00BA331B"/>
    <w:pPr>
      <w:spacing w:before="300" w:after="0"/>
      <w:outlineLvl w:val="6"/>
    </w:pPr>
    <w:rPr>
      <w:caps/>
      <w:color w:val="3476B1" w:themeColor="accent1" w:themeShade="BF"/>
      <w:spacing w:val="10"/>
      <w:sz w:val="22"/>
      <w:szCs w:val="22"/>
    </w:rPr>
  </w:style>
  <w:style w:type="paragraph" w:styleId="Heading8">
    <w:name w:val="heading 8"/>
    <w:basedOn w:val="Normal"/>
    <w:next w:val="Normal"/>
    <w:link w:val="Heading8Char"/>
    <w:uiPriority w:val="9"/>
    <w:semiHidden/>
    <w:unhideWhenUsed/>
    <w:qFormat/>
    <w:rsid w:val="00BA331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331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1B"/>
    <w:pPr>
      <w:ind w:left="720"/>
      <w:contextualSpacing/>
    </w:pPr>
  </w:style>
  <w:style w:type="character" w:customStyle="1" w:styleId="Heading2Char">
    <w:name w:val="Heading 2 Char"/>
    <w:basedOn w:val="DefaultParagraphFont"/>
    <w:link w:val="Heading2"/>
    <w:uiPriority w:val="9"/>
    <w:rsid w:val="00BA331B"/>
    <w:rPr>
      <w:caps/>
      <w:spacing w:val="15"/>
      <w:shd w:val="clear" w:color="auto" w:fill="DFEBF5" w:themeFill="accent1" w:themeFillTint="33"/>
    </w:rPr>
  </w:style>
  <w:style w:type="character" w:customStyle="1" w:styleId="Heading1Char">
    <w:name w:val="Heading 1 Char"/>
    <w:basedOn w:val="DefaultParagraphFont"/>
    <w:link w:val="Heading1"/>
    <w:uiPriority w:val="9"/>
    <w:rsid w:val="00BA331B"/>
    <w:rPr>
      <w:b/>
      <w:bCs/>
      <w:caps/>
      <w:color w:val="FFFFFF" w:themeColor="background1"/>
      <w:spacing w:val="15"/>
      <w:shd w:val="clear" w:color="auto" w:fill="629DD1" w:themeFill="accent1"/>
    </w:rPr>
  </w:style>
  <w:style w:type="character" w:styleId="CommentReference">
    <w:name w:val="annotation reference"/>
    <w:basedOn w:val="DefaultParagraphFont"/>
    <w:uiPriority w:val="99"/>
    <w:semiHidden/>
    <w:unhideWhenUsed/>
    <w:rsid w:val="002B6230"/>
    <w:rPr>
      <w:sz w:val="18"/>
      <w:szCs w:val="18"/>
    </w:rPr>
  </w:style>
  <w:style w:type="paragraph" w:styleId="CommentText">
    <w:name w:val="annotation text"/>
    <w:basedOn w:val="Normal"/>
    <w:link w:val="CommentTextChar"/>
    <w:uiPriority w:val="99"/>
    <w:semiHidden/>
    <w:unhideWhenUsed/>
    <w:rsid w:val="002B6230"/>
  </w:style>
  <w:style w:type="character" w:customStyle="1" w:styleId="CommentTextChar">
    <w:name w:val="Comment Text Char"/>
    <w:basedOn w:val="DefaultParagraphFont"/>
    <w:link w:val="CommentText"/>
    <w:uiPriority w:val="99"/>
    <w:semiHidden/>
    <w:rsid w:val="002B6230"/>
  </w:style>
  <w:style w:type="paragraph" w:styleId="CommentSubject">
    <w:name w:val="annotation subject"/>
    <w:basedOn w:val="CommentText"/>
    <w:next w:val="CommentText"/>
    <w:link w:val="CommentSubjectChar"/>
    <w:uiPriority w:val="99"/>
    <w:semiHidden/>
    <w:unhideWhenUsed/>
    <w:rsid w:val="002B6230"/>
    <w:rPr>
      <w:b/>
      <w:bCs/>
    </w:rPr>
  </w:style>
  <w:style w:type="character" w:customStyle="1" w:styleId="CommentSubjectChar">
    <w:name w:val="Comment Subject Char"/>
    <w:basedOn w:val="CommentTextChar"/>
    <w:link w:val="CommentSubject"/>
    <w:uiPriority w:val="99"/>
    <w:semiHidden/>
    <w:rsid w:val="002B6230"/>
    <w:rPr>
      <w:b/>
      <w:bCs/>
      <w:sz w:val="20"/>
      <w:szCs w:val="20"/>
    </w:rPr>
  </w:style>
  <w:style w:type="paragraph" w:styleId="BalloonText">
    <w:name w:val="Balloon Text"/>
    <w:basedOn w:val="Normal"/>
    <w:link w:val="BalloonTextChar"/>
    <w:uiPriority w:val="99"/>
    <w:semiHidden/>
    <w:unhideWhenUsed/>
    <w:rsid w:val="002B62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6230"/>
    <w:rPr>
      <w:rFonts w:ascii="Lucida Grande" w:hAnsi="Lucida Grande" w:cs="Lucida Grande"/>
      <w:sz w:val="18"/>
      <w:szCs w:val="18"/>
    </w:rPr>
  </w:style>
  <w:style w:type="paragraph" w:styleId="Header">
    <w:name w:val="header"/>
    <w:basedOn w:val="Normal"/>
    <w:link w:val="HeaderChar"/>
    <w:uiPriority w:val="99"/>
    <w:unhideWhenUsed/>
    <w:rsid w:val="00A5048D"/>
    <w:pPr>
      <w:tabs>
        <w:tab w:val="center" w:pos="4320"/>
        <w:tab w:val="right" w:pos="8640"/>
      </w:tabs>
    </w:pPr>
  </w:style>
  <w:style w:type="character" w:customStyle="1" w:styleId="HeaderChar">
    <w:name w:val="Header Char"/>
    <w:basedOn w:val="DefaultParagraphFont"/>
    <w:link w:val="Header"/>
    <w:uiPriority w:val="99"/>
    <w:rsid w:val="00A5048D"/>
  </w:style>
  <w:style w:type="paragraph" w:styleId="Footer">
    <w:name w:val="footer"/>
    <w:basedOn w:val="Normal"/>
    <w:link w:val="FooterChar"/>
    <w:uiPriority w:val="99"/>
    <w:unhideWhenUsed/>
    <w:rsid w:val="00A5048D"/>
    <w:pPr>
      <w:tabs>
        <w:tab w:val="center" w:pos="4320"/>
        <w:tab w:val="right" w:pos="8640"/>
      </w:tabs>
    </w:pPr>
  </w:style>
  <w:style w:type="character" w:customStyle="1" w:styleId="FooterChar">
    <w:name w:val="Footer Char"/>
    <w:basedOn w:val="DefaultParagraphFont"/>
    <w:link w:val="Footer"/>
    <w:uiPriority w:val="99"/>
    <w:rsid w:val="00A5048D"/>
  </w:style>
  <w:style w:type="table" w:styleId="TableGrid">
    <w:name w:val="Table Grid"/>
    <w:basedOn w:val="TableNormal"/>
    <w:uiPriority w:val="59"/>
    <w:rsid w:val="006069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A331B"/>
    <w:rPr>
      <w:caps/>
      <w:color w:val="224E76" w:themeColor="accent1" w:themeShade="7F"/>
      <w:spacing w:val="15"/>
    </w:rPr>
  </w:style>
  <w:style w:type="character" w:customStyle="1" w:styleId="apple-converted-space">
    <w:name w:val="apple-converted-space"/>
    <w:basedOn w:val="DefaultParagraphFont"/>
    <w:rsid w:val="00921010"/>
  </w:style>
  <w:style w:type="character" w:customStyle="1" w:styleId="Heading4Char">
    <w:name w:val="Heading 4 Char"/>
    <w:basedOn w:val="DefaultParagraphFont"/>
    <w:link w:val="Heading4"/>
    <w:uiPriority w:val="9"/>
    <w:semiHidden/>
    <w:rsid w:val="00BA331B"/>
    <w:rPr>
      <w:caps/>
      <w:color w:val="3476B1" w:themeColor="accent1" w:themeShade="BF"/>
      <w:spacing w:val="10"/>
    </w:rPr>
  </w:style>
  <w:style w:type="character" w:customStyle="1" w:styleId="Heading5Char">
    <w:name w:val="Heading 5 Char"/>
    <w:basedOn w:val="DefaultParagraphFont"/>
    <w:link w:val="Heading5"/>
    <w:uiPriority w:val="9"/>
    <w:semiHidden/>
    <w:rsid w:val="00BA331B"/>
    <w:rPr>
      <w:caps/>
      <w:color w:val="3476B1" w:themeColor="accent1" w:themeShade="BF"/>
      <w:spacing w:val="10"/>
    </w:rPr>
  </w:style>
  <w:style w:type="character" w:customStyle="1" w:styleId="Heading6Char">
    <w:name w:val="Heading 6 Char"/>
    <w:basedOn w:val="DefaultParagraphFont"/>
    <w:link w:val="Heading6"/>
    <w:uiPriority w:val="9"/>
    <w:semiHidden/>
    <w:rsid w:val="00BA331B"/>
    <w:rPr>
      <w:caps/>
      <w:color w:val="3476B1" w:themeColor="accent1" w:themeShade="BF"/>
      <w:spacing w:val="10"/>
    </w:rPr>
  </w:style>
  <w:style w:type="character" w:customStyle="1" w:styleId="Heading7Char">
    <w:name w:val="Heading 7 Char"/>
    <w:basedOn w:val="DefaultParagraphFont"/>
    <w:link w:val="Heading7"/>
    <w:uiPriority w:val="9"/>
    <w:semiHidden/>
    <w:rsid w:val="00BA331B"/>
    <w:rPr>
      <w:caps/>
      <w:color w:val="3476B1" w:themeColor="accent1" w:themeShade="BF"/>
      <w:spacing w:val="10"/>
    </w:rPr>
  </w:style>
  <w:style w:type="character" w:customStyle="1" w:styleId="Heading8Char">
    <w:name w:val="Heading 8 Char"/>
    <w:basedOn w:val="DefaultParagraphFont"/>
    <w:link w:val="Heading8"/>
    <w:uiPriority w:val="9"/>
    <w:semiHidden/>
    <w:rsid w:val="00BA331B"/>
    <w:rPr>
      <w:caps/>
      <w:spacing w:val="10"/>
      <w:sz w:val="18"/>
      <w:szCs w:val="18"/>
    </w:rPr>
  </w:style>
  <w:style w:type="character" w:customStyle="1" w:styleId="Heading9Char">
    <w:name w:val="Heading 9 Char"/>
    <w:basedOn w:val="DefaultParagraphFont"/>
    <w:link w:val="Heading9"/>
    <w:uiPriority w:val="9"/>
    <w:semiHidden/>
    <w:rsid w:val="00BA331B"/>
    <w:rPr>
      <w:i/>
      <w:caps/>
      <w:spacing w:val="10"/>
      <w:sz w:val="18"/>
      <w:szCs w:val="18"/>
    </w:rPr>
  </w:style>
  <w:style w:type="paragraph" w:styleId="Caption">
    <w:name w:val="caption"/>
    <w:basedOn w:val="Normal"/>
    <w:next w:val="Normal"/>
    <w:uiPriority w:val="35"/>
    <w:semiHidden/>
    <w:unhideWhenUsed/>
    <w:qFormat/>
    <w:rsid w:val="00BA331B"/>
    <w:rPr>
      <w:b/>
      <w:bCs/>
      <w:color w:val="3476B1" w:themeColor="accent1" w:themeShade="BF"/>
      <w:sz w:val="16"/>
      <w:szCs w:val="16"/>
    </w:rPr>
  </w:style>
  <w:style w:type="paragraph" w:styleId="Title">
    <w:name w:val="Title"/>
    <w:basedOn w:val="Normal"/>
    <w:next w:val="Normal"/>
    <w:link w:val="TitleChar"/>
    <w:uiPriority w:val="10"/>
    <w:qFormat/>
    <w:rsid w:val="00BA331B"/>
    <w:pPr>
      <w:spacing w:before="720"/>
    </w:pPr>
    <w:rPr>
      <w:caps/>
      <w:color w:val="629DD1" w:themeColor="accent1"/>
      <w:spacing w:val="10"/>
      <w:kern w:val="28"/>
      <w:sz w:val="52"/>
      <w:szCs w:val="52"/>
    </w:rPr>
  </w:style>
  <w:style w:type="character" w:customStyle="1" w:styleId="TitleChar">
    <w:name w:val="Title Char"/>
    <w:basedOn w:val="DefaultParagraphFont"/>
    <w:link w:val="Title"/>
    <w:uiPriority w:val="10"/>
    <w:rsid w:val="00BA331B"/>
    <w:rPr>
      <w:caps/>
      <w:color w:val="629DD1" w:themeColor="accent1"/>
      <w:spacing w:val="10"/>
      <w:kern w:val="28"/>
      <w:sz w:val="52"/>
      <w:szCs w:val="52"/>
    </w:rPr>
  </w:style>
  <w:style w:type="paragraph" w:styleId="Subtitle">
    <w:name w:val="Subtitle"/>
    <w:basedOn w:val="Normal"/>
    <w:next w:val="Normal"/>
    <w:link w:val="SubtitleChar"/>
    <w:uiPriority w:val="11"/>
    <w:qFormat/>
    <w:rsid w:val="00BA331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A331B"/>
    <w:rPr>
      <w:caps/>
      <w:color w:val="595959" w:themeColor="text1" w:themeTint="A6"/>
      <w:spacing w:val="10"/>
      <w:sz w:val="24"/>
      <w:szCs w:val="24"/>
    </w:rPr>
  </w:style>
  <w:style w:type="character" w:styleId="Strong">
    <w:name w:val="Strong"/>
    <w:uiPriority w:val="22"/>
    <w:qFormat/>
    <w:rsid w:val="00BA331B"/>
    <w:rPr>
      <w:b/>
      <w:bCs/>
    </w:rPr>
  </w:style>
  <w:style w:type="character" w:styleId="Emphasis">
    <w:name w:val="Emphasis"/>
    <w:uiPriority w:val="20"/>
    <w:qFormat/>
    <w:rsid w:val="00BA331B"/>
    <w:rPr>
      <w:caps/>
      <w:color w:val="224E76" w:themeColor="accent1" w:themeShade="7F"/>
      <w:spacing w:val="5"/>
    </w:rPr>
  </w:style>
  <w:style w:type="paragraph" w:styleId="NoSpacing">
    <w:name w:val="No Spacing"/>
    <w:basedOn w:val="Normal"/>
    <w:link w:val="NoSpacingChar"/>
    <w:uiPriority w:val="1"/>
    <w:qFormat/>
    <w:rsid w:val="00BA331B"/>
    <w:pPr>
      <w:spacing w:before="0" w:after="0" w:line="240" w:lineRule="auto"/>
    </w:pPr>
  </w:style>
  <w:style w:type="character" w:customStyle="1" w:styleId="NoSpacingChar">
    <w:name w:val="No Spacing Char"/>
    <w:basedOn w:val="DefaultParagraphFont"/>
    <w:link w:val="NoSpacing"/>
    <w:uiPriority w:val="1"/>
    <w:rsid w:val="00BA331B"/>
    <w:rPr>
      <w:sz w:val="20"/>
      <w:szCs w:val="20"/>
    </w:rPr>
  </w:style>
  <w:style w:type="paragraph" w:styleId="Quote">
    <w:name w:val="Quote"/>
    <w:basedOn w:val="Normal"/>
    <w:next w:val="Normal"/>
    <w:link w:val="QuoteChar"/>
    <w:uiPriority w:val="29"/>
    <w:qFormat/>
    <w:rsid w:val="00BA331B"/>
    <w:rPr>
      <w:i/>
      <w:iCs/>
    </w:rPr>
  </w:style>
  <w:style w:type="character" w:customStyle="1" w:styleId="QuoteChar">
    <w:name w:val="Quote Char"/>
    <w:basedOn w:val="DefaultParagraphFont"/>
    <w:link w:val="Quote"/>
    <w:uiPriority w:val="29"/>
    <w:rsid w:val="00BA331B"/>
    <w:rPr>
      <w:i/>
      <w:iCs/>
      <w:sz w:val="20"/>
      <w:szCs w:val="20"/>
    </w:rPr>
  </w:style>
  <w:style w:type="paragraph" w:styleId="IntenseQuote">
    <w:name w:val="Intense Quote"/>
    <w:basedOn w:val="Normal"/>
    <w:next w:val="Normal"/>
    <w:link w:val="IntenseQuoteChar"/>
    <w:uiPriority w:val="30"/>
    <w:qFormat/>
    <w:rsid w:val="00BA331B"/>
    <w:pPr>
      <w:pBdr>
        <w:top w:val="single" w:sz="4" w:space="10" w:color="629DD1" w:themeColor="accent1"/>
        <w:left w:val="single" w:sz="4" w:space="10" w:color="629DD1" w:themeColor="accent1"/>
      </w:pBdr>
      <w:spacing w:after="0"/>
      <w:ind w:left="1296" w:right="1152"/>
      <w:jc w:val="both"/>
    </w:pPr>
    <w:rPr>
      <w:i/>
      <w:iCs/>
      <w:color w:val="629DD1" w:themeColor="accent1"/>
    </w:rPr>
  </w:style>
  <w:style w:type="character" w:customStyle="1" w:styleId="IntenseQuoteChar">
    <w:name w:val="Intense Quote Char"/>
    <w:basedOn w:val="DefaultParagraphFont"/>
    <w:link w:val="IntenseQuote"/>
    <w:uiPriority w:val="30"/>
    <w:rsid w:val="00BA331B"/>
    <w:rPr>
      <w:i/>
      <w:iCs/>
      <w:color w:val="629DD1" w:themeColor="accent1"/>
      <w:sz w:val="20"/>
      <w:szCs w:val="20"/>
    </w:rPr>
  </w:style>
  <w:style w:type="character" w:styleId="SubtleEmphasis">
    <w:name w:val="Subtle Emphasis"/>
    <w:uiPriority w:val="19"/>
    <w:qFormat/>
    <w:rsid w:val="00BA331B"/>
    <w:rPr>
      <w:i/>
      <w:iCs/>
      <w:color w:val="224E76" w:themeColor="accent1" w:themeShade="7F"/>
    </w:rPr>
  </w:style>
  <w:style w:type="character" w:styleId="IntenseEmphasis">
    <w:name w:val="Intense Emphasis"/>
    <w:uiPriority w:val="21"/>
    <w:qFormat/>
    <w:rsid w:val="00BA331B"/>
    <w:rPr>
      <w:b/>
      <w:bCs/>
      <w:caps/>
      <w:color w:val="224E76" w:themeColor="accent1" w:themeShade="7F"/>
      <w:spacing w:val="10"/>
    </w:rPr>
  </w:style>
  <w:style w:type="character" w:styleId="SubtleReference">
    <w:name w:val="Subtle Reference"/>
    <w:uiPriority w:val="31"/>
    <w:qFormat/>
    <w:rsid w:val="00BA331B"/>
    <w:rPr>
      <w:b/>
      <w:bCs/>
      <w:color w:val="629DD1" w:themeColor="accent1"/>
    </w:rPr>
  </w:style>
  <w:style w:type="character" w:styleId="IntenseReference">
    <w:name w:val="Intense Reference"/>
    <w:uiPriority w:val="32"/>
    <w:qFormat/>
    <w:rsid w:val="00BA331B"/>
    <w:rPr>
      <w:b/>
      <w:bCs/>
      <w:i/>
      <w:iCs/>
      <w:caps/>
      <w:color w:val="629DD1" w:themeColor="accent1"/>
    </w:rPr>
  </w:style>
  <w:style w:type="character" w:styleId="BookTitle">
    <w:name w:val="Book Title"/>
    <w:uiPriority w:val="33"/>
    <w:qFormat/>
    <w:rsid w:val="00BA331B"/>
    <w:rPr>
      <w:b/>
      <w:bCs/>
      <w:i/>
      <w:iCs/>
      <w:spacing w:val="9"/>
    </w:rPr>
  </w:style>
  <w:style w:type="paragraph" w:styleId="TOCHeading">
    <w:name w:val="TOC Heading"/>
    <w:basedOn w:val="Heading1"/>
    <w:next w:val="Normal"/>
    <w:uiPriority w:val="39"/>
    <w:semiHidden/>
    <w:unhideWhenUsed/>
    <w:qFormat/>
    <w:rsid w:val="00BA331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Apothecary">
      <a:majorFont>
        <a:latin typeface="Book Antiqua"/>
        <a:ea typeface=""/>
        <a:cs typeface=""/>
        <a:font script="Jpan" typeface="ＭＳ Ｐ明朝"/>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4F3D-287A-460D-AF39-EDD58AD8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McEwen</dc:creator>
  <cp:lastModifiedBy>Mandana Salimi</cp:lastModifiedBy>
  <cp:revision>3</cp:revision>
  <cp:lastPrinted>2013-10-03T18:47:00Z</cp:lastPrinted>
  <dcterms:created xsi:type="dcterms:W3CDTF">2014-09-23T19:25:00Z</dcterms:created>
  <dcterms:modified xsi:type="dcterms:W3CDTF">2014-09-23T19:25:00Z</dcterms:modified>
</cp:coreProperties>
</file>