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DA" w:rsidRPr="00493F6C" w:rsidRDefault="004E16DA" w:rsidP="004E16DA">
      <w:pPr>
        <w:pStyle w:val="Heading2"/>
        <w:rPr>
          <w:rFonts w:ascii="Century Gothic" w:hAnsi="Century Gothic"/>
          <w:sz w:val="24"/>
        </w:rPr>
      </w:pPr>
      <w:r w:rsidRPr="00493F6C">
        <w:rPr>
          <w:rFonts w:ascii="Century Gothic" w:hAnsi="Century Gothic"/>
          <w:sz w:val="24"/>
        </w:rPr>
        <w:t xml:space="preserve">Task 3 – CPOE </w:t>
      </w:r>
      <w:r>
        <w:rPr>
          <w:rFonts w:ascii="Century Gothic" w:hAnsi="Century Gothic"/>
          <w:sz w:val="24"/>
        </w:rPr>
        <w:t>– CDS – Pediatric (OVERDOSING)</w:t>
      </w:r>
    </w:p>
    <w:p w:rsidR="004E16DA" w:rsidRPr="0079001D" w:rsidRDefault="004E16DA" w:rsidP="004E16DA">
      <w:pPr>
        <w:rPr>
          <w:rFonts w:ascii="Times" w:eastAsia="Times New Roman" w:hAnsi="Times" w:cs="Times New Roman"/>
        </w:rPr>
      </w:pPr>
      <w:proofErr w:type="spellStart"/>
      <w:r>
        <w:rPr>
          <w:rFonts w:ascii="Century Gothic" w:hAnsi="Century Gothic"/>
          <w:sz w:val="22"/>
        </w:rPr>
        <w:t>Rian</w:t>
      </w:r>
      <w:proofErr w:type="spellEnd"/>
      <w:r w:rsidRPr="00493F6C">
        <w:rPr>
          <w:rFonts w:ascii="Century Gothic" w:hAnsi="Century Gothic"/>
          <w:sz w:val="22"/>
        </w:rPr>
        <w:t xml:space="preserve">, </w:t>
      </w:r>
      <w:r>
        <w:rPr>
          <w:rFonts w:ascii="Century Gothic" w:hAnsi="Century Gothic"/>
          <w:sz w:val="22"/>
        </w:rPr>
        <w:t xml:space="preserve">a </w:t>
      </w:r>
      <w:r w:rsidR="00BF7CB4">
        <w:rPr>
          <w:rFonts w:ascii="Century Gothic" w:hAnsi="Century Gothic"/>
          <w:sz w:val="22"/>
        </w:rPr>
        <w:t>2</w:t>
      </w:r>
      <w:r>
        <w:rPr>
          <w:rFonts w:ascii="Century Gothic" w:hAnsi="Century Gothic"/>
          <w:sz w:val="22"/>
        </w:rPr>
        <w:t xml:space="preserve"> month old male</w:t>
      </w:r>
      <w:r w:rsidRPr="00493F6C">
        <w:rPr>
          <w:rFonts w:ascii="Century Gothic" w:hAnsi="Century Gothic"/>
          <w:sz w:val="22"/>
        </w:rPr>
        <w:t>,</w:t>
      </w:r>
      <w:r>
        <w:rPr>
          <w:rFonts w:ascii="Century Gothic" w:hAnsi="Century Gothic"/>
          <w:sz w:val="22"/>
        </w:rPr>
        <w:t xml:space="preserve"> is in the clinic today for a follow-up first regarding his </w:t>
      </w:r>
      <w:proofErr w:type="spellStart"/>
      <w:r>
        <w:rPr>
          <w:rFonts w:ascii="Century Gothic" w:hAnsi="Century Gothic"/>
          <w:sz w:val="22"/>
        </w:rPr>
        <w:t>Gastroesophageal</w:t>
      </w:r>
      <w:proofErr w:type="spellEnd"/>
      <w:r>
        <w:rPr>
          <w:rFonts w:ascii="Century Gothic" w:hAnsi="Century Gothic"/>
          <w:sz w:val="22"/>
        </w:rPr>
        <w:t xml:space="preserve"> Reflux</w:t>
      </w:r>
      <w:r w:rsidRPr="00493F6C">
        <w:rPr>
          <w:rFonts w:ascii="Century Gothic" w:hAnsi="Century Gothic"/>
          <w:sz w:val="22"/>
        </w:rPr>
        <w:t xml:space="preserve">. </w:t>
      </w:r>
      <w:r>
        <w:rPr>
          <w:rFonts w:ascii="Century Gothic" w:hAnsi="Century Gothic"/>
          <w:sz w:val="22"/>
        </w:rPr>
        <w:t xml:space="preserve">Although his parents have implemented smaller, more regular feedings and are maintaining an inclined position of </w:t>
      </w:r>
      <w:proofErr w:type="spellStart"/>
      <w:r>
        <w:rPr>
          <w:rFonts w:ascii="Century Gothic" w:hAnsi="Century Gothic"/>
          <w:sz w:val="22"/>
        </w:rPr>
        <w:t>Rian</w:t>
      </w:r>
      <w:proofErr w:type="spellEnd"/>
      <w:r>
        <w:rPr>
          <w:rFonts w:ascii="Century Gothic" w:hAnsi="Century Gothic"/>
          <w:sz w:val="22"/>
        </w:rPr>
        <w:t xml:space="preserve"> post feeding, his symptoms persist.  </w:t>
      </w:r>
      <w:r w:rsidRPr="00493F6C">
        <w:rPr>
          <w:rFonts w:ascii="Century Gothic" w:hAnsi="Century Gothic"/>
          <w:sz w:val="22"/>
        </w:rPr>
        <w:t>Af</w:t>
      </w:r>
      <w:r>
        <w:rPr>
          <w:rFonts w:ascii="Century Gothic" w:hAnsi="Century Gothic"/>
          <w:sz w:val="22"/>
        </w:rPr>
        <w:t>ter reviewing the history of his</w:t>
      </w:r>
      <w:r w:rsidRPr="00493F6C">
        <w:rPr>
          <w:rFonts w:ascii="Century Gothic" w:hAnsi="Century Gothic"/>
          <w:sz w:val="22"/>
        </w:rPr>
        <w:t xml:space="preserve"> symptoms and </w:t>
      </w:r>
      <w:r>
        <w:rPr>
          <w:rFonts w:ascii="Century Gothic" w:hAnsi="Century Gothic"/>
          <w:sz w:val="22"/>
        </w:rPr>
        <w:t>current physical exam</w:t>
      </w:r>
      <w:r w:rsidRPr="00493F6C">
        <w:rPr>
          <w:rFonts w:ascii="Century Gothic" w:hAnsi="Century Gothic"/>
          <w:sz w:val="22"/>
        </w:rPr>
        <w:t>, you</w:t>
      </w:r>
      <w:r>
        <w:rPr>
          <w:rFonts w:ascii="Century Gothic" w:hAnsi="Century Gothic"/>
          <w:sz w:val="22"/>
        </w:rPr>
        <w:t xml:space="preserve"> have decided to prescribe </w:t>
      </w:r>
      <w:r w:rsidRPr="007900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famotidine oral suspension</w:t>
      </w:r>
      <w:r>
        <w:rPr>
          <w:rFonts w:ascii="Century Gothic" w:hAnsi="Century Gothic"/>
          <w:sz w:val="22"/>
        </w:rPr>
        <w:t xml:space="preserve"> for a month</w:t>
      </w:r>
      <w:r w:rsidRPr="00493F6C">
        <w:rPr>
          <w:rFonts w:ascii="Century Gothic" w:hAnsi="Century Gothic"/>
          <w:sz w:val="22"/>
        </w:rPr>
        <w:t xml:space="preserve">. </w:t>
      </w:r>
      <w:proofErr w:type="spellStart"/>
      <w:r>
        <w:rPr>
          <w:rFonts w:ascii="Century Gothic" w:hAnsi="Century Gothic"/>
          <w:sz w:val="22"/>
        </w:rPr>
        <w:t>Rian</w:t>
      </w:r>
      <w:proofErr w:type="spellEnd"/>
      <w:r>
        <w:rPr>
          <w:rFonts w:ascii="Century Gothic" w:hAnsi="Century Gothic"/>
          <w:sz w:val="22"/>
        </w:rPr>
        <w:t xml:space="preserve"> currently weighs 13.2 pounds. </w:t>
      </w:r>
      <w:r w:rsidRPr="00493F6C">
        <w:rPr>
          <w:rFonts w:ascii="Century Gothic" w:hAnsi="Century Gothic"/>
          <w:sz w:val="22"/>
        </w:rPr>
        <w:t xml:space="preserve">You goal is to enter the order into the electronic prescribing function of your EHR system. </w:t>
      </w:r>
    </w:p>
    <w:p w:rsidR="004E16DA" w:rsidRPr="00493F6C" w:rsidRDefault="004E16DA" w:rsidP="004E16DA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493F6C">
        <w:rPr>
          <w:rFonts w:ascii="Century Gothic" w:hAnsi="Century Gothic"/>
          <w:sz w:val="22"/>
        </w:rPr>
        <w:t xml:space="preserve">Navigate to the medication order form and prescribe </w:t>
      </w:r>
      <w:r>
        <w:rPr>
          <w:rFonts w:ascii="Century Gothic" w:hAnsi="Century Gothic"/>
          <w:sz w:val="22"/>
        </w:rPr>
        <w:t>famotidine</w:t>
      </w:r>
      <w:r w:rsidRPr="00493F6C">
        <w:rPr>
          <w:rFonts w:ascii="Century Gothic" w:hAnsi="Century Gothic"/>
          <w:sz w:val="22"/>
        </w:rPr>
        <w:t xml:space="preserve"> using as much as the information from Table 1 as is required. Verbally state when you believe you have successfully completed this task.</w:t>
      </w:r>
    </w:p>
    <w:p w:rsidR="004E16DA" w:rsidRPr="00493F6C" w:rsidRDefault="004E16DA" w:rsidP="004E16DA">
      <w:pPr>
        <w:ind w:left="360"/>
        <w:rPr>
          <w:rFonts w:ascii="Century Gothic" w:hAnsi="Century Gothic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5190"/>
      </w:tblGrid>
      <w:tr w:rsidR="004E16DA" w:rsidRPr="00493F6C" w:rsidTr="004E552E">
        <w:tc>
          <w:tcPr>
            <w:tcW w:w="7437" w:type="dxa"/>
            <w:gridSpan w:val="2"/>
            <w:tcBorders>
              <w:bottom w:val="single" w:sz="4" w:space="0" w:color="auto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b/>
                <w:sz w:val="22"/>
              </w:rPr>
            </w:pPr>
            <w:r w:rsidRPr="00493F6C">
              <w:rPr>
                <w:rFonts w:ascii="Century Gothic" w:hAnsi="Century Gothic"/>
                <w:b/>
                <w:sz w:val="22"/>
              </w:rPr>
              <w:t>Table 1. Drug Information</w:t>
            </w:r>
          </w:p>
        </w:tc>
      </w:tr>
      <w:tr w:rsidR="004E16DA" w:rsidRPr="00493F6C" w:rsidTr="004E552E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Generic Name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famotidine</w:t>
            </w:r>
          </w:p>
        </w:tc>
      </w:tr>
      <w:tr w:rsidR="004E16DA" w:rsidRPr="00493F6C" w:rsidTr="004E552E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Strength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40mg/ml</w:t>
            </w:r>
          </w:p>
        </w:tc>
      </w:tr>
      <w:tr w:rsidR="004E16DA" w:rsidRPr="00493F6C" w:rsidTr="004E552E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Dose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:rsidR="004E16DA" w:rsidRPr="00493F6C" w:rsidRDefault="004E16DA" w:rsidP="00BF7CB4">
            <w:pPr>
              <w:spacing w:before="0" w:after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Take 3mg 2x daily </w:t>
            </w:r>
          </w:p>
        </w:tc>
      </w:tr>
      <w:tr w:rsidR="004E16DA" w:rsidRPr="00493F6C" w:rsidTr="004E552E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Form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Oral suspension</w:t>
            </w:r>
          </w:p>
        </w:tc>
      </w:tr>
      <w:tr w:rsidR="004E16DA" w:rsidRPr="00493F6C" w:rsidTr="004E552E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Route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By mouth</w:t>
            </w:r>
          </w:p>
        </w:tc>
      </w:tr>
      <w:tr w:rsidR="004E16DA" w:rsidRPr="00493F6C" w:rsidTr="004E552E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Dispense Amount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:rsidR="004E16DA" w:rsidRPr="00493F6C" w:rsidRDefault="00BF7CB4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Follow protocol</w:t>
            </w:r>
            <w:bookmarkStart w:id="0" w:name="_GoBack"/>
            <w:bookmarkEnd w:id="0"/>
          </w:p>
        </w:tc>
      </w:tr>
      <w:tr w:rsidR="004E16DA" w:rsidRPr="00493F6C" w:rsidTr="004E552E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Brand Necessary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No</w:t>
            </w:r>
          </w:p>
        </w:tc>
      </w:tr>
      <w:tr w:rsidR="004E16DA" w:rsidRPr="00493F6C" w:rsidTr="004E552E">
        <w:tc>
          <w:tcPr>
            <w:tcW w:w="2247" w:type="dxa"/>
            <w:tcBorders>
              <w:top w:val="nil"/>
              <w:bottom w:val="nil"/>
              <w:righ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Refills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0</w:t>
            </w:r>
            <w:r w:rsidRPr="00493F6C">
              <w:rPr>
                <w:rFonts w:ascii="Century Gothic" w:hAnsi="Century Gothic"/>
                <w:sz w:val="22"/>
              </w:rPr>
              <w:t xml:space="preserve"> refills</w:t>
            </w:r>
          </w:p>
        </w:tc>
      </w:tr>
      <w:tr w:rsidR="004E16DA" w:rsidRPr="00493F6C" w:rsidTr="004E552E">
        <w:tc>
          <w:tcPr>
            <w:tcW w:w="2247" w:type="dxa"/>
            <w:tcBorders>
              <w:top w:val="nil"/>
              <w:righ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 w:rsidRPr="00493F6C">
              <w:rPr>
                <w:rFonts w:ascii="Century Gothic" w:hAnsi="Century Gothic"/>
                <w:sz w:val="22"/>
              </w:rPr>
              <w:t>Reason</w:t>
            </w:r>
          </w:p>
        </w:tc>
        <w:tc>
          <w:tcPr>
            <w:tcW w:w="5190" w:type="dxa"/>
            <w:tcBorders>
              <w:top w:val="nil"/>
              <w:left w:val="nil"/>
            </w:tcBorders>
          </w:tcPr>
          <w:p w:rsidR="004E16DA" w:rsidRPr="00493F6C" w:rsidRDefault="004E16DA" w:rsidP="004E552E">
            <w:pPr>
              <w:spacing w:before="0" w:after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GER</w:t>
            </w:r>
          </w:p>
        </w:tc>
      </w:tr>
    </w:tbl>
    <w:p w:rsidR="004E16DA" w:rsidRPr="00493F6C" w:rsidRDefault="004E16DA" w:rsidP="004E16DA">
      <w:pPr>
        <w:pStyle w:val="ListParagraph"/>
        <w:rPr>
          <w:rFonts w:ascii="Century Gothic" w:hAnsi="Century Gothic"/>
          <w:sz w:val="22"/>
        </w:rPr>
      </w:pPr>
    </w:p>
    <w:p w:rsidR="004E16DA" w:rsidRPr="00F23773" w:rsidRDefault="004E16DA" w:rsidP="004E16DA">
      <w:pPr>
        <w:pStyle w:val="ListParagraph"/>
        <w:numPr>
          <w:ilvl w:val="0"/>
          <w:numId w:val="1"/>
        </w:numPr>
        <w:rPr>
          <w:rFonts w:ascii="Century Gothic" w:eastAsiaTheme="majorEastAsia" w:hAnsi="Century Gothic" w:cstheme="majorBidi"/>
          <w:b/>
          <w:bCs/>
          <w:color w:val="4F81BD" w:themeColor="accent1"/>
          <w:szCs w:val="26"/>
        </w:rPr>
      </w:pPr>
      <w:r>
        <w:rPr>
          <w:rFonts w:ascii="Century Gothic" w:eastAsiaTheme="majorEastAsia" w:hAnsi="Century Gothic" w:cstheme="majorBidi"/>
          <w:b/>
          <w:bCs/>
          <w:color w:val="4F81BD" w:themeColor="accent1"/>
          <w:szCs w:val="26"/>
        </w:rPr>
        <w:t>CDS Trigger – Pepcid dosage is determined both by AGE and WEIGHT</w:t>
      </w:r>
    </w:p>
    <w:p w:rsidR="004E16DA" w:rsidRPr="00930647" w:rsidRDefault="004E16DA" w:rsidP="004E16DA">
      <w:pPr>
        <w:rPr>
          <w:rFonts w:ascii="Century Gothic" w:eastAsiaTheme="majorEastAsia" w:hAnsi="Century Gothic" w:cstheme="majorBidi"/>
          <w:b/>
          <w:bCs/>
          <w:color w:val="4F81BD" w:themeColor="accent1"/>
          <w:szCs w:val="26"/>
        </w:rPr>
      </w:pPr>
    </w:p>
    <w:p w:rsidR="00B475B3" w:rsidRDefault="00DC465B"/>
    <w:sectPr w:rsidR="00B475B3" w:rsidSect="007B5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5B" w:rsidRDefault="00DC465B" w:rsidP="004E16DA">
      <w:pPr>
        <w:spacing w:before="0" w:after="0" w:line="240" w:lineRule="auto"/>
      </w:pPr>
      <w:r>
        <w:separator/>
      </w:r>
    </w:p>
  </w:endnote>
  <w:endnote w:type="continuationSeparator" w:id="0">
    <w:p w:rsidR="00DC465B" w:rsidRDefault="00DC465B" w:rsidP="004E16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DA" w:rsidRDefault="004E16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8C" w:rsidRPr="00E82173" w:rsidRDefault="000774EB">
    <w:pPr>
      <w:pStyle w:val="Footer"/>
      <w:rPr>
        <w:rFonts w:ascii="Century Gothic" w:hAnsi="Century Gothic"/>
      </w:rPr>
    </w:pPr>
    <w:r w:rsidRPr="00E82173">
      <w:rPr>
        <w:rFonts w:ascii="Century Gothic" w:hAnsi="Century Gothic"/>
      </w:rPr>
      <w:t>§170.314(a</w:t>
    </w:r>
    <w:proofErr w:type="gramStart"/>
    <w:r w:rsidRPr="00E82173">
      <w:rPr>
        <w:rFonts w:ascii="Century Gothic" w:hAnsi="Century Gothic"/>
      </w:rPr>
      <w:t>)(</w:t>
    </w:r>
    <w:proofErr w:type="gramEnd"/>
    <w:r w:rsidRPr="00E82173">
      <w:rPr>
        <w:rFonts w:ascii="Century Gothic" w:hAnsi="Century Gothic"/>
      </w:rPr>
      <w:t>1)/(b)(3)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DA" w:rsidRDefault="004E16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5B" w:rsidRDefault="00DC465B" w:rsidP="004E16DA">
      <w:pPr>
        <w:spacing w:before="0" w:after="0" w:line="240" w:lineRule="auto"/>
      </w:pPr>
      <w:r>
        <w:separator/>
      </w:r>
    </w:p>
  </w:footnote>
  <w:footnote w:type="continuationSeparator" w:id="0">
    <w:p w:rsidR="00DC465B" w:rsidRDefault="00DC465B" w:rsidP="004E16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DA" w:rsidRDefault="004E16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DA" w:rsidRDefault="004E16DA" w:rsidP="004E16DA">
    <w:pPr>
      <w:pStyle w:val="Header"/>
      <w:jc w:val="right"/>
    </w:pPr>
    <w:r>
      <w:rPr>
        <w:noProof/>
      </w:rPr>
      <w:drawing>
        <wp:inline distT="0" distB="0" distL="0" distR="0" wp14:anchorId="77592EFD" wp14:editId="336C9E77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16DA" w:rsidRDefault="004E16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6DA" w:rsidRDefault="004E16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DA"/>
    <w:rsid w:val="000774EB"/>
    <w:rsid w:val="002D08B2"/>
    <w:rsid w:val="004E16DA"/>
    <w:rsid w:val="00BF7CB4"/>
    <w:rsid w:val="00C4649D"/>
    <w:rsid w:val="00D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A"/>
    <w:pPr>
      <w:spacing w:before="200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6D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16DA"/>
    <w:rPr>
      <w:rFonts w:eastAsiaTheme="minorEastAsia"/>
      <w:caps/>
      <w:spacing w:val="15"/>
      <w:shd w:val="clear" w:color="auto" w:fill="DBE5F1" w:themeFill="accent1" w:themeFillTint="33"/>
    </w:rPr>
  </w:style>
  <w:style w:type="paragraph" w:styleId="ListParagraph">
    <w:name w:val="List Paragraph"/>
    <w:basedOn w:val="Normal"/>
    <w:uiPriority w:val="34"/>
    <w:qFormat/>
    <w:rsid w:val="004E16DA"/>
    <w:pPr>
      <w:ind w:left="720"/>
      <w:contextualSpacing/>
    </w:pPr>
  </w:style>
  <w:style w:type="table" w:styleId="TableGrid">
    <w:name w:val="Table Grid"/>
    <w:basedOn w:val="TableNormal"/>
    <w:uiPriority w:val="59"/>
    <w:rsid w:val="004E16DA"/>
    <w:pPr>
      <w:spacing w:before="20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E16DA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6DA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16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6DA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6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D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A"/>
    <w:pPr>
      <w:spacing w:before="200"/>
    </w:pPr>
    <w:rPr>
      <w:rFonts w:eastAsiaTheme="minorEastAsia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6D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16DA"/>
    <w:rPr>
      <w:rFonts w:eastAsiaTheme="minorEastAsia"/>
      <w:caps/>
      <w:spacing w:val="15"/>
      <w:shd w:val="clear" w:color="auto" w:fill="DBE5F1" w:themeFill="accent1" w:themeFillTint="33"/>
    </w:rPr>
  </w:style>
  <w:style w:type="paragraph" w:styleId="ListParagraph">
    <w:name w:val="List Paragraph"/>
    <w:basedOn w:val="Normal"/>
    <w:uiPriority w:val="34"/>
    <w:qFormat/>
    <w:rsid w:val="004E16DA"/>
    <w:pPr>
      <w:ind w:left="720"/>
      <w:contextualSpacing/>
    </w:pPr>
  </w:style>
  <w:style w:type="table" w:styleId="TableGrid">
    <w:name w:val="Table Grid"/>
    <w:basedOn w:val="TableNormal"/>
    <w:uiPriority w:val="59"/>
    <w:rsid w:val="004E16DA"/>
    <w:pPr>
      <w:spacing w:before="200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E16DA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6DA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16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6DA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6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D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Krisanne Graves</dc:creator>
  <cp:lastModifiedBy>Krisanne Graves</cp:lastModifiedBy>
  <cp:revision>2</cp:revision>
  <dcterms:created xsi:type="dcterms:W3CDTF">2014-03-31T16:41:00Z</dcterms:created>
  <dcterms:modified xsi:type="dcterms:W3CDTF">2014-03-31T16:43:00Z</dcterms:modified>
</cp:coreProperties>
</file>